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C3C" w:rsidRPr="00051C80" w:rsidRDefault="00FA3634" w:rsidP="00051C80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051C80">
        <w:rPr>
          <w:rFonts w:ascii="Arial" w:eastAsia="Times New Roman" w:hAnsi="Arial" w:cs="Arial"/>
          <w:b/>
          <w:sz w:val="40"/>
          <w:szCs w:val="40"/>
          <w:lang w:eastAsia="es-ES"/>
        </w:rPr>
        <w:t>7</w:t>
      </w:r>
    </w:p>
    <w:p w:rsidR="00636595" w:rsidRPr="00051C80" w:rsidRDefault="005D7503" w:rsidP="00051C80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CONDICIONS ESPECIALS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I </w:t>
      </w:r>
      <w:r w:rsidR="003A483C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CLÀUSULES </w:t>
      </w:r>
      <w:r w:rsidR="00A7433A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E</w:t>
      </w:r>
      <w:r w:rsidR="001A364D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>SSENCIALS</w:t>
      </w:r>
      <w:r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D’EXECUCIÓ</w:t>
      </w:r>
      <w:r w:rsidR="00136628" w:rsidRPr="00051C80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</w:t>
      </w:r>
    </w:p>
    <w:p w:rsidR="00121415" w:rsidRPr="00051C80" w:rsidRDefault="00121415">
      <w:pPr>
        <w:rPr>
          <w:rFonts w:ascii="Arial" w:hAnsi="Arial" w:cs="Arial"/>
        </w:rPr>
      </w:pPr>
      <w:r w:rsidRPr="00051C80">
        <w:rPr>
          <w:rFonts w:ascii="Arial" w:hAnsi="Arial" w:cs="Arial"/>
        </w:rPr>
        <w:br w:type="page"/>
      </w:r>
    </w:p>
    <w:p w:rsidR="00121415" w:rsidRPr="00857958" w:rsidRDefault="00121415" w:rsidP="00857958">
      <w:pPr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lastRenderedPageBreak/>
        <w:t>Obligacions generals considerades condicions especials i essencials d’execució</w:t>
      </w:r>
      <w:bookmarkStart w:id="0" w:name="_GoBack"/>
      <w:bookmarkEnd w:id="0"/>
    </w:p>
    <w:p w:rsidR="00121415" w:rsidRPr="00051C80" w:rsidRDefault="00121415" w:rsidP="00121415">
      <w:pPr>
        <w:pStyle w:val="Prrafodelista"/>
        <w:numPr>
          <w:ilvl w:val="0"/>
          <w:numId w:val="6"/>
        </w:numPr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Pel que fa a les obligacions socials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L’empresa adjudicatària haurà de complir amb les següents disposicions: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  <w:b/>
        </w:rPr>
        <w:t>Per a les empreses amb 50 treballadors o més</w:t>
      </w:r>
      <w:r w:rsidRPr="00051C80">
        <w:rPr>
          <w:rFonts w:ascii="Arial" w:hAnsi="Arial" w:cs="Arial"/>
        </w:rPr>
        <w:t xml:space="preserve"> i/o quan s’exigeixi en el conveni col·lectiu que sigui aplicable: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L'empresa adjudicatària </w:t>
      </w:r>
      <w:r w:rsidRPr="00051C80">
        <w:rPr>
          <w:rFonts w:ascii="Arial" w:hAnsi="Arial" w:cs="Arial"/>
          <w:u w:val="single"/>
        </w:rPr>
        <w:t>haurà de presentar, en el termini màxim de 30 dies des de la signatura del contracte</w:t>
      </w:r>
      <w:r w:rsidRPr="00051C80">
        <w:rPr>
          <w:rFonts w:ascii="Arial" w:hAnsi="Arial" w:cs="Arial"/>
        </w:rPr>
        <w:t>, el Pla d’igualtat de conformitat amb el capítol III de la Llei orgànica 3/2007, de 22 de març, per a la igualtat efectiva de dones i homes.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Així mateix, restarà obligada a aplicar, en realitzar la prestació objecte del contracte, mesures destinades a promoure la igualtat d’oportunitats entre dones i homes en el mercat de treball. 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Nogensmenys també restarà obligada si així s’ha establert en el conveni col·lectiu que li sigui aplicable.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  <w:b/>
        </w:rPr>
      </w:pPr>
      <w:r w:rsidRPr="00051C80">
        <w:rPr>
          <w:rFonts w:ascii="Arial" w:hAnsi="Arial" w:cs="Arial"/>
          <w:b/>
        </w:rPr>
        <w:t>Per a les empreses amb menys de 50 treballadors: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L’empresa que no estigui obligada a disposar d’un pla d’Igualtat en els termes del paràgraf anterior, </w:t>
      </w:r>
      <w:r w:rsidRPr="00051C80">
        <w:rPr>
          <w:rFonts w:ascii="Arial" w:hAnsi="Arial" w:cs="Arial"/>
          <w:u w:val="single"/>
        </w:rPr>
        <w:t>haurà de presentar en el termini màxim de 30 dies des de la signatura del contracte</w:t>
      </w:r>
      <w:r w:rsidRPr="00051C80">
        <w:rPr>
          <w:rFonts w:ascii="Arial" w:hAnsi="Arial" w:cs="Arial"/>
        </w:rPr>
        <w:t xml:space="preserve"> la proposta d’acció d’alguna de les mesures següents, mitjançant declaració responsable signada per l’apoderat signant de la oferta adjudicada: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a) Disposició de representació equilibrada de dones i homes en tots i cada un dels grups i categories professionals.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b) Mesures per a la millora de l’accés a l’ocupació i la promoció professional de les dones en els sectors, ocupacions i professions en què siguin poc presents.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c) Promoció de l’accés de les dones als òrgans de direcció per a garantir la representació equilibrada de tots dos sexes d’acord amb l’article 32 de la Llei 17/2015, del 21 de juliol, d'igualtat efectiva de dones i homes.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d) Implantació les garanties corresponents per a aplicar criteris igualitaris de retribució de dones i homes, i també l’adequada valoració de llocs de treball tenint en compte la perspectiva de gènere.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e) Adopció de mesures per a implantar formes flexibles i horaris racionals d’organització del temps de treball, que facin possible la coresponsabilitat de dones i homes en el treball domèstic i de cura de persones i que permetin de conciliar la vida personal i laboral.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f) Adopció de mesures contra l’assetjament sexual i l’assetjament per raó de sexe, incloent-hi les accions preventives i sancionadores i l’elaboració d’un protocol de prevenció.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g) Protocol d’ús de llenguatges inclusius no sexistes ni androcèntrics i publicitat no sexista en la comunicació interna, els productes, els serveis i el màrqueting de l’empresa.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i) Actuacions relatives a la responsabilitat social corporativa destinades a promoure condicions d’igualtat de dones i homes en el si de l’empresa.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j) Establiment de permisos de paternitat, de caràcter individual i intransferible, de quatre setmanes consecutives des del finiment del permís de maternitat, afegit al permís que estableix la legislació vigent.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k) Promoció de polítiques efectives de flexibilitat empresarial.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En cas que l’empresa adjudicatària disposi del distintiu d’excel·lència empresarial en matèria d’igualtat efectiva de dones i homes en el treball, d’acord amb el que estableix l’article 50 de la Llei orgànica 3/2007, de 22 de març, per a la igualtat efectiva de dones i homes i l’article 10 Llei 17/2015, del 21 de juliol, d'igualtat efectiva de dones i homes, </w:t>
      </w:r>
      <w:r w:rsidRPr="00051C80">
        <w:rPr>
          <w:rFonts w:ascii="Arial" w:hAnsi="Arial" w:cs="Arial"/>
          <w:u w:val="single"/>
        </w:rPr>
        <w:t>haurà de presentar aquest distintiu en el termini màxim de 30 dies des de la signatura del contracte i haurà de mantenir, durant la vigència del contracte, totes les accions que l’empresa ha plantejat per a que li sigui concedit el distintiu</w:t>
      </w:r>
      <w:r w:rsidRPr="00051C80">
        <w:rPr>
          <w:rFonts w:ascii="Arial" w:hAnsi="Arial" w:cs="Arial"/>
        </w:rPr>
        <w:t xml:space="preserve">. 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Aspectes generals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Aquestes condicions especials d’execució s’han d’entendre vinculades a l’objecte contractual en relació a les persones que gestionin el contracte, ja siguin administratius, tècnics o qualsevol altre professional amb qui l’ICS, els seus centres territorials o el seu operador logístic hagi de tenir relació en l’execució del contracte. </w:t>
      </w:r>
    </w:p>
    <w:p w:rsidR="00121415" w:rsidRPr="00051C80" w:rsidRDefault="00121415" w:rsidP="00121415">
      <w:pPr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L’òrgan de contractació podrà sol·licitar, en qualsevol moment durant l’execució del contracte, informació i documentació en relació a aquestes condicions especials del contracte.</w:t>
      </w:r>
    </w:p>
    <w:p w:rsidR="00121415" w:rsidRPr="00051C80" w:rsidRDefault="00121415" w:rsidP="00121415">
      <w:pPr>
        <w:tabs>
          <w:tab w:val="left" w:pos="426"/>
        </w:tabs>
        <w:ind w:left="360"/>
        <w:jc w:val="both"/>
        <w:rPr>
          <w:rFonts w:ascii="Arial" w:hAnsi="Arial" w:cs="Arial"/>
          <w:u w:val="single"/>
        </w:rPr>
      </w:pPr>
      <w:r w:rsidRPr="00051C80">
        <w:rPr>
          <w:rFonts w:ascii="Arial" w:hAnsi="Arial" w:cs="Arial"/>
          <w:u w:val="single"/>
        </w:rPr>
        <w:t>Consideracions a tenir en compte, en aplicació del Reial Decret Legislatiu 6/2019:</w:t>
      </w:r>
    </w:p>
    <w:p w:rsidR="00121415" w:rsidRPr="00051C80" w:rsidRDefault="00121415" w:rsidP="00121415">
      <w:pPr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150 persones treballadores i fins a 250 persones treballadores comptaran amb un període per a l'aprovació dels plans d'igualtat fins el 7 de març de 2020.</w:t>
      </w:r>
    </w:p>
    <w:p w:rsidR="00121415" w:rsidRPr="00051C80" w:rsidRDefault="00121415" w:rsidP="00121415">
      <w:pPr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més de 100 i fins a 150 persones treballadores, comptaran amb un període per a l'aprovació dels plans d'igualtat fins el 7 de març de 2021.</w:t>
      </w:r>
    </w:p>
    <w:p w:rsidR="00121415" w:rsidRPr="00051C80" w:rsidRDefault="00121415" w:rsidP="00121415">
      <w:pPr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Les empreses de 50 a 100 persones treballadores comptaran amb un període per a l'aprovació dels plans d'igualtat fins el 7 de març de 2022.</w:t>
      </w:r>
    </w:p>
    <w:p w:rsidR="00121415" w:rsidRPr="00051C80" w:rsidRDefault="00121415" w:rsidP="00121415">
      <w:pPr>
        <w:tabs>
          <w:tab w:val="left" w:pos="426"/>
        </w:tabs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</w:p>
    <w:p w:rsidR="00121415" w:rsidRPr="00051C80" w:rsidRDefault="00121415" w:rsidP="00121415">
      <w:pPr>
        <w:pStyle w:val="Prrafodelista"/>
        <w:numPr>
          <w:ilvl w:val="0"/>
          <w:numId w:val="6"/>
        </w:numPr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Pel que fa a consideracions d’ètica en la contractació</w:t>
      </w:r>
    </w:p>
    <w:p w:rsidR="00121415" w:rsidRPr="00051C80" w:rsidRDefault="00121415" w:rsidP="00121415">
      <w:pPr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L’empresa adjudicatària assumeix les obligacions següents: </w:t>
      </w:r>
    </w:p>
    <w:p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a) Observar els principis, les normes i els cànons ètics propis de les activitats, els oficis i/o les professions corresponents a les prestacions objecte dels contractes. </w:t>
      </w:r>
    </w:p>
    <w:p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b) No realitzar accions que posin en risc l’interès públic en l’àmbit del contracte o de les prestacions. </w:t>
      </w:r>
    </w:p>
    <w:p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c) Denunciar les situacions irregulars que es puguin presentar en els processos de contractació pública o durant l’execució dels contractes. </w:t>
      </w:r>
    </w:p>
    <w:p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d) Abstenir-se de realitzar conductes que tinguin per objecte o puguin produir l’efecte d’impedir, restringir o falsejar la competència com per exemple els comportaments col·lusoris o de competència fraudulenta (ofertes de resguard, eliminació d’ofertes, assignació de mercats, rotació d’ofertes, etc.). </w:t>
      </w:r>
    </w:p>
    <w:p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e) Declarar si té alguna situació de possible conflicte d’interès, als efectes del que disposa l’article 64 de la LCSP, o relació equivalent al respecte amb parts interessades en el projecte. Si durant l’execució del contracte es produís una situació d’aquestes característiques el contractista o subcontractista està obligat a posar-ho en coneixement de l’òrgan de contractació. </w:t>
      </w:r>
    </w:p>
    <w:p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f) Respectar els acords i les normes de confidencialitat. </w:t>
      </w:r>
    </w:p>
    <w:p w:rsidR="00121415" w:rsidRPr="00051C80" w:rsidRDefault="00121415" w:rsidP="00121415">
      <w:pPr>
        <w:autoSpaceDE w:val="0"/>
        <w:autoSpaceDN w:val="0"/>
        <w:adjustRightInd w:val="0"/>
        <w:spacing w:before="24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g) Col·laborar amb l’òrgan de contractació en les actuacions que aquest realitzi per al seguiment i/o l’avaluació del compliment del contracte, particularment facilitant la informació que li sigui sol·licitada per a aquestes finalitats i que la legislació de transparència i la normativa de contractes del sector públic imposen als contractistes en relació amb l’administració o administracions de referència, sens perjudici del compliment de les obligacions de transparència que els pertoquin de forma directa per previsió legal. </w:t>
      </w:r>
    </w:p>
    <w:p w:rsidR="00121415" w:rsidRPr="00051C80" w:rsidRDefault="00121415" w:rsidP="00121415">
      <w:pPr>
        <w:autoSpaceDE w:val="0"/>
        <w:autoSpaceDN w:val="0"/>
        <w:adjustRightInd w:val="0"/>
        <w:ind w:left="36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h) Els licitadors, contractistes i </w:t>
      </w:r>
      <w:proofErr w:type="spellStart"/>
      <w:r w:rsidRPr="00051C80">
        <w:rPr>
          <w:rFonts w:ascii="Arial" w:hAnsi="Arial" w:cs="Arial"/>
        </w:rPr>
        <w:t>subcontractistes</w:t>
      </w:r>
      <w:proofErr w:type="spellEnd"/>
      <w:r w:rsidRPr="00051C80">
        <w:rPr>
          <w:rFonts w:ascii="Arial" w:hAnsi="Arial" w:cs="Arial"/>
        </w:rPr>
        <w:t xml:space="preserve">, o llurs empreses filials o vinculades, es comprometen a complir rigorosament la legislació tributària, laboral i de seguretat social i, específicament, a no fer operacions financeres contràries a la normativa tributària en països que no tinguin normes sobre control de capitals i siguin considerats paradisos fiscals per la Unió Europea. </w:t>
      </w:r>
    </w:p>
    <w:p w:rsidR="00121415" w:rsidRPr="00051C80" w:rsidRDefault="00121415" w:rsidP="00121415">
      <w:pPr>
        <w:tabs>
          <w:tab w:val="left" w:pos="426"/>
        </w:tabs>
        <w:spacing w:before="240" w:after="0" w:line="240" w:lineRule="auto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Pel que fa a consideracions </w:t>
      </w:r>
      <w:r w:rsidRPr="00051C80">
        <w:rPr>
          <w:rFonts w:ascii="Arial" w:hAnsi="Arial" w:cs="Arial"/>
          <w:b/>
        </w:rPr>
        <w:t>en relació a la protecció de dades de caràcter personal</w:t>
      </w:r>
    </w:p>
    <w:p w:rsidR="00121415" w:rsidRPr="00051C80" w:rsidRDefault="00121415" w:rsidP="00121415">
      <w:pPr>
        <w:jc w:val="both"/>
        <w:rPr>
          <w:rFonts w:ascii="Arial" w:hAnsi="Arial" w:cs="Arial"/>
        </w:rPr>
      </w:pPr>
    </w:p>
    <w:p w:rsidR="00121415" w:rsidRPr="00051C80" w:rsidRDefault="00121415" w:rsidP="0012141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 contractista de tractar les dades únicament per la finalitat per a la qual s’han cedit les dades de caràcter personal.</w:t>
      </w:r>
    </w:p>
    <w:p w:rsidR="00121415" w:rsidRPr="00051C80" w:rsidRDefault="00121415" w:rsidP="0012141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del contractista de sotmetre’s a la normativa nacional i de la Unió Europea en matèria de protecció de dades, sense perjudici del que estableix l’últim paràgraf de l’apartat 1 de l’article 202de la LCSP.</w:t>
      </w:r>
    </w:p>
    <w:p w:rsidR="00121415" w:rsidRPr="00051C80" w:rsidRDefault="00121415" w:rsidP="0012141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 l’empresa adjudicatària de presentar abans de la formalització del contracte una declaració, d’acord amb el model que s’adjunta com a annex 12 d’aquest plec, en què posi de manifest on estaran ubicats els servidors i des d’on es prestaran els serveis associats a aquests.</w:t>
      </w:r>
    </w:p>
    <w:p w:rsidR="00121415" w:rsidRPr="00051C80" w:rsidRDefault="00121415" w:rsidP="0012141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>- L’obligació de comunicar qualsevol canvi que es produeixi, al llarg de la vida del contracte, de la informació facilitada en la declaració a què es refereix l’apartat anterior.</w:t>
      </w:r>
    </w:p>
    <w:p w:rsidR="00121415" w:rsidRPr="00051C80" w:rsidRDefault="00121415" w:rsidP="00121415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51C80">
        <w:rPr>
          <w:rFonts w:ascii="Arial" w:hAnsi="Arial" w:cs="Arial"/>
        </w:rPr>
        <w:t xml:space="preserve">- L’obligació dels licitadors d’indicar en la seva oferta, si tenen previst subcontractar els servidors o els serveis associats a aquests, el nom o el perfil empresarial, definit per referència a les condicions de solvència professional o tècnica, dels </w:t>
      </w:r>
      <w:proofErr w:type="spellStart"/>
      <w:r w:rsidRPr="00051C80">
        <w:rPr>
          <w:rFonts w:ascii="Arial" w:hAnsi="Arial" w:cs="Arial"/>
        </w:rPr>
        <w:t>subcontractistes</w:t>
      </w:r>
      <w:proofErr w:type="spellEnd"/>
      <w:r w:rsidRPr="00051C80">
        <w:rPr>
          <w:rFonts w:ascii="Arial" w:hAnsi="Arial" w:cs="Arial"/>
        </w:rPr>
        <w:t xml:space="preserve"> als quals se n’encarregui la realització.</w:t>
      </w:r>
    </w:p>
    <w:sectPr w:rsidR="00121415" w:rsidRPr="00051C80" w:rsidSect="00857958">
      <w:headerReference w:type="default" r:id="rId10"/>
      <w:footerReference w:type="default" r:id="rId11"/>
      <w:pgSz w:w="11906" w:h="16838"/>
      <w:pgMar w:top="1843" w:right="991" w:bottom="1134" w:left="1701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FB3" w:rsidRDefault="00C61FB3" w:rsidP="00C8019D">
      <w:pPr>
        <w:spacing w:after="0" w:line="240" w:lineRule="auto"/>
      </w:pPr>
      <w:r>
        <w:separator/>
      </w:r>
    </w:p>
  </w:endnote>
  <w:endnote w:type="continuationSeparator" w:id="0">
    <w:p w:rsidR="00C61FB3" w:rsidRDefault="00C61FB3" w:rsidP="00C8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tch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05A" w:rsidRDefault="001D105A" w:rsidP="001D105A">
    <w:pPr>
      <w:pStyle w:val="Piedepgina"/>
      <w:jc w:val="right"/>
      <w:rPr>
        <w:rFonts w:ascii="Calibri Light" w:hAnsi="Calibri Light"/>
        <w:sz w:val="14"/>
      </w:rPr>
    </w:pPr>
  </w:p>
  <w:p w:rsidR="001D105A" w:rsidRPr="001D105A" w:rsidRDefault="00972532">
    <w:pPr>
      <w:pStyle w:val="Piedepgina"/>
      <w:rPr>
        <w:rFonts w:ascii="Calibri Light" w:hAnsi="Calibri Light"/>
        <w:sz w:val="16"/>
      </w:rPr>
    </w:pPr>
    <w:r w:rsidRPr="00972532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-429260</wp:posOffset>
          </wp:positionV>
          <wp:extent cx="1449705" cy="316230"/>
          <wp:effectExtent l="0" t="0" r="0" b="7620"/>
          <wp:wrapNone/>
          <wp:docPr id="20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FB3" w:rsidRDefault="00C61FB3" w:rsidP="00C8019D">
      <w:pPr>
        <w:spacing w:after="0" w:line="240" w:lineRule="auto"/>
      </w:pPr>
      <w:r>
        <w:separator/>
      </w:r>
    </w:p>
  </w:footnote>
  <w:footnote w:type="continuationSeparator" w:id="0">
    <w:p w:rsidR="00C61FB3" w:rsidRDefault="00C61FB3" w:rsidP="00C80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19D" w:rsidRDefault="00C8019D">
    <w:pPr>
      <w:pStyle w:val="Encabezado"/>
    </w:pPr>
    <w:r>
      <w:rPr>
        <w:noProof/>
        <w:lang w:eastAsia="ca-ES"/>
      </w:rPr>
      <w:drawing>
        <wp:inline distT="0" distB="0" distL="0" distR="0" wp14:anchorId="6B239641" wp14:editId="4F482EDA">
          <wp:extent cx="1350855" cy="268811"/>
          <wp:effectExtent l="0" t="0" r="1905" b="0"/>
          <wp:docPr id="19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0855" cy="2688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75pt;height:9.75pt" o:bullet="t">
        <v:imagedata r:id="rId1" o:title="BD15020_"/>
      </v:shape>
    </w:pict>
  </w:numPicBullet>
  <w:abstractNum w:abstractNumId="0" w15:restartNumberingAfterBreak="0">
    <w:nsid w:val="09703B41"/>
    <w:multiLevelType w:val="hybridMultilevel"/>
    <w:tmpl w:val="74882900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19A4BF5"/>
    <w:multiLevelType w:val="hybridMultilevel"/>
    <w:tmpl w:val="2DF68D70"/>
    <w:lvl w:ilvl="0" w:tplc="2C6EF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>
      <w:start w:val="1"/>
      <w:numFmt w:val="lowerLetter"/>
      <w:lvlText w:val="%2."/>
      <w:lvlJc w:val="left"/>
      <w:pPr>
        <w:ind w:left="1800" w:hanging="360"/>
      </w:pPr>
    </w:lvl>
    <w:lvl w:ilvl="2" w:tplc="0403001B">
      <w:start w:val="1"/>
      <w:numFmt w:val="lowerRoman"/>
      <w:lvlText w:val="%3."/>
      <w:lvlJc w:val="right"/>
      <w:pPr>
        <w:ind w:left="464" w:hanging="180"/>
      </w:pPr>
    </w:lvl>
    <w:lvl w:ilvl="3" w:tplc="0403000F" w:tentative="1">
      <w:start w:val="1"/>
      <w:numFmt w:val="decimal"/>
      <w:lvlText w:val="%4."/>
      <w:lvlJc w:val="left"/>
      <w:pPr>
        <w:ind w:left="3240" w:hanging="360"/>
      </w:pPr>
    </w:lvl>
    <w:lvl w:ilvl="4" w:tplc="04030019" w:tentative="1">
      <w:start w:val="1"/>
      <w:numFmt w:val="lowerLetter"/>
      <w:lvlText w:val="%5."/>
      <w:lvlJc w:val="left"/>
      <w:pPr>
        <w:ind w:left="3960" w:hanging="360"/>
      </w:pPr>
    </w:lvl>
    <w:lvl w:ilvl="5" w:tplc="0403001B" w:tentative="1">
      <w:start w:val="1"/>
      <w:numFmt w:val="lowerRoman"/>
      <w:lvlText w:val="%6."/>
      <w:lvlJc w:val="right"/>
      <w:pPr>
        <w:ind w:left="4680" w:hanging="180"/>
      </w:pPr>
    </w:lvl>
    <w:lvl w:ilvl="6" w:tplc="0403000F" w:tentative="1">
      <w:start w:val="1"/>
      <w:numFmt w:val="decimal"/>
      <w:lvlText w:val="%7."/>
      <w:lvlJc w:val="left"/>
      <w:pPr>
        <w:ind w:left="5400" w:hanging="360"/>
      </w:pPr>
    </w:lvl>
    <w:lvl w:ilvl="7" w:tplc="04030019" w:tentative="1">
      <w:start w:val="1"/>
      <w:numFmt w:val="lowerLetter"/>
      <w:lvlText w:val="%8."/>
      <w:lvlJc w:val="left"/>
      <w:pPr>
        <w:ind w:left="6120" w:hanging="360"/>
      </w:pPr>
    </w:lvl>
    <w:lvl w:ilvl="8" w:tplc="040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961366"/>
    <w:multiLevelType w:val="hybridMultilevel"/>
    <w:tmpl w:val="BE2E5E64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D7169"/>
    <w:multiLevelType w:val="hybridMultilevel"/>
    <w:tmpl w:val="52527048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417E7"/>
    <w:multiLevelType w:val="hybridMultilevel"/>
    <w:tmpl w:val="BAD872EC"/>
    <w:lvl w:ilvl="0" w:tplc="F572CD2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7F7A7A"/>
    <w:multiLevelType w:val="hybridMultilevel"/>
    <w:tmpl w:val="EDAC631C"/>
    <w:lvl w:ilvl="0" w:tplc="F092CFE8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1D6FFC"/>
    <w:multiLevelType w:val="hybridMultilevel"/>
    <w:tmpl w:val="D06AF738"/>
    <w:lvl w:ilvl="0" w:tplc="BE08E98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037B23"/>
    <w:multiLevelType w:val="multilevel"/>
    <w:tmpl w:val="0403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A3A0BF1"/>
    <w:multiLevelType w:val="multilevel"/>
    <w:tmpl w:val="84623C3E"/>
    <w:lvl w:ilvl="0">
      <w:start w:val="1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C414E6E"/>
    <w:multiLevelType w:val="hybridMultilevel"/>
    <w:tmpl w:val="FE0A5B1A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2BC629B"/>
    <w:multiLevelType w:val="hybridMultilevel"/>
    <w:tmpl w:val="6046D5B4"/>
    <w:lvl w:ilvl="0" w:tplc="0403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5AE6B89"/>
    <w:multiLevelType w:val="hybridMultilevel"/>
    <w:tmpl w:val="620CFCD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9F01AF"/>
    <w:multiLevelType w:val="hybridMultilevel"/>
    <w:tmpl w:val="E75EAB90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F9E23DC"/>
    <w:multiLevelType w:val="hybridMultilevel"/>
    <w:tmpl w:val="B50C3CD6"/>
    <w:lvl w:ilvl="0" w:tplc="0403000F">
      <w:start w:val="1"/>
      <w:numFmt w:val="decimal"/>
      <w:lvlText w:val="%1."/>
      <w:lvlJc w:val="left"/>
      <w:pPr>
        <w:ind w:left="360" w:hanging="360"/>
      </w:p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2"/>
  </w:num>
  <w:num w:numId="3">
    <w:abstractNumId w:val="13"/>
  </w:num>
  <w:num w:numId="4">
    <w:abstractNumId w:val="1"/>
  </w:num>
  <w:num w:numId="5">
    <w:abstractNumId w:val="10"/>
  </w:num>
  <w:num w:numId="6">
    <w:abstractNumId w:val="9"/>
  </w:num>
  <w:num w:numId="7">
    <w:abstractNumId w:val="8"/>
  </w:num>
  <w:num w:numId="8">
    <w:abstractNumId w:val="6"/>
  </w:num>
  <w:num w:numId="9">
    <w:abstractNumId w:val="0"/>
  </w:num>
  <w:num w:numId="10">
    <w:abstractNumId w:val="3"/>
  </w:num>
  <w:num w:numId="11">
    <w:abstractNumId w:val="5"/>
  </w:num>
  <w:num w:numId="12">
    <w:abstractNumId w:val="11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C41"/>
    <w:rsid w:val="00016B81"/>
    <w:rsid w:val="00051C80"/>
    <w:rsid w:val="00065B29"/>
    <w:rsid w:val="000778BB"/>
    <w:rsid w:val="000A0672"/>
    <w:rsid w:val="000F37B8"/>
    <w:rsid w:val="00121415"/>
    <w:rsid w:val="00136628"/>
    <w:rsid w:val="00157E6B"/>
    <w:rsid w:val="00164CA1"/>
    <w:rsid w:val="001A364D"/>
    <w:rsid w:val="001A4B7B"/>
    <w:rsid w:val="001D105A"/>
    <w:rsid w:val="002573E2"/>
    <w:rsid w:val="002757A2"/>
    <w:rsid w:val="00276103"/>
    <w:rsid w:val="002A0BE3"/>
    <w:rsid w:val="002F2C25"/>
    <w:rsid w:val="00312EAE"/>
    <w:rsid w:val="00344CD3"/>
    <w:rsid w:val="00353208"/>
    <w:rsid w:val="00361A44"/>
    <w:rsid w:val="00365EE3"/>
    <w:rsid w:val="003A483C"/>
    <w:rsid w:val="003E1B5B"/>
    <w:rsid w:val="003F2D97"/>
    <w:rsid w:val="00417CA6"/>
    <w:rsid w:val="004378EB"/>
    <w:rsid w:val="00451BD4"/>
    <w:rsid w:val="004A666F"/>
    <w:rsid w:val="004A7992"/>
    <w:rsid w:val="00507B0B"/>
    <w:rsid w:val="005178A0"/>
    <w:rsid w:val="00525D4E"/>
    <w:rsid w:val="00566EEE"/>
    <w:rsid w:val="00575978"/>
    <w:rsid w:val="00583371"/>
    <w:rsid w:val="00593BF4"/>
    <w:rsid w:val="005C681E"/>
    <w:rsid w:val="005D7503"/>
    <w:rsid w:val="00636595"/>
    <w:rsid w:val="00662C41"/>
    <w:rsid w:val="006A5284"/>
    <w:rsid w:val="006B20EA"/>
    <w:rsid w:val="006D1DF9"/>
    <w:rsid w:val="0073606E"/>
    <w:rsid w:val="00765088"/>
    <w:rsid w:val="007704BE"/>
    <w:rsid w:val="0079512C"/>
    <w:rsid w:val="00796EB9"/>
    <w:rsid w:val="007B11AA"/>
    <w:rsid w:val="007F1B83"/>
    <w:rsid w:val="007F219B"/>
    <w:rsid w:val="00836905"/>
    <w:rsid w:val="00852A9E"/>
    <w:rsid w:val="00857958"/>
    <w:rsid w:val="0087404C"/>
    <w:rsid w:val="00913772"/>
    <w:rsid w:val="00916D1B"/>
    <w:rsid w:val="009400E8"/>
    <w:rsid w:val="00972532"/>
    <w:rsid w:val="00982CA6"/>
    <w:rsid w:val="00985375"/>
    <w:rsid w:val="009B5F33"/>
    <w:rsid w:val="009D19E1"/>
    <w:rsid w:val="009E1BEB"/>
    <w:rsid w:val="009E51DA"/>
    <w:rsid w:val="009F0E25"/>
    <w:rsid w:val="009F34E5"/>
    <w:rsid w:val="00A060D5"/>
    <w:rsid w:val="00A37D3D"/>
    <w:rsid w:val="00A7433A"/>
    <w:rsid w:val="00AD6122"/>
    <w:rsid w:val="00AF5806"/>
    <w:rsid w:val="00B020BC"/>
    <w:rsid w:val="00B22488"/>
    <w:rsid w:val="00B27F0D"/>
    <w:rsid w:val="00BA2458"/>
    <w:rsid w:val="00BF150F"/>
    <w:rsid w:val="00C02CE6"/>
    <w:rsid w:val="00C06D68"/>
    <w:rsid w:val="00C07273"/>
    <w:rsid w:val="00C10467"/>
    <w:rsid w:val="00C35842"/>
    <w:rsid w:val="00C4087A"/>
    <w:rsid w:val="00C61FB3"/>
    <w:rsid w:val="00C8019D"/>
    <w:rsid w:val="00CB4149"/>
    <w:rsid w:val="00CC6733"/>
    <w:rsid w:val="00D0398D"/>
    <w:rsid w:val="00D47498"/>
    <w:rsid w:val="00DA4E8E"/>
    <w:rsid w:val="00E21DE6"/>
    <w:rsid w:val="00E41F88"/>
    <w:rsid w:val="00E61EE4"/>
    <w:rsid w:val="00E65FE1"/>
    <w:rsid w:val="00EF6C3C"/>
    <w:rsid w:val="00F830C2"/>
    <w:rsid w:val="00FA3634"/>
    <w:rsid w:val="00FB376E"/>
    <w:rsid w:val="00FC4E2C"/>
    <w:rsid w:val="00FF420D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D1B7CD"/>
  <w15:docId w15:val="{1A5345F2-40E0-493E-957A-DDA85A64C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uiPriority w:val="99"/>
    <w:qFormat/>
    <w:rsid w:val="00662C41"/>
    <w:pPr>
      <w:keepNext/>
      <w:tabs>
        <w:tab w:val="left" w:pos="360"/>
        <w:tab w:val="left" w:pos="720"/>
        <w:tab w:val="left" w:pos="1080"/>
      </w:tabs>
      <w:spacing w:after="0" w:line="240" w:lineRule="auto"/>
      <w:jc w:val="both"/>
      <w:outlineLvl w:val="1"/>
    </w:pPr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F37B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9"/>
    <w:rsid w:val="00662C41"/>
    <w:rPr>
      <w:rFonts w:ascii="Arial" w:eastAsia="Times New Roman" w:hAnsi="Arial" w:cs="Arial"/>
      <w:b/>
      <w:bCs/>
      <w:sz w:val="24"/>
      <w:szCs w:val="24"/>
      <w:lang w:eastAsia="es-ES"/>
    </w:rPr>
  </w:style>
  <w:style w:type="paragraph" w:styleId="Textocomentario">
    <w:name w:val="annotation text"/>
    <w:basedOn w:val="Normal"/>
    <w:link w:val="TextocomentarioCar"/>
    <w:rsid w:val="00662C41"/>
    <w:pPr>
      <w:spacing w:after="0" w:line="240" w:lineRule="auto"/>
      <w:jc w:val="both"/>
    </w:pPr>
    <w:rPr>
      <w:rFonts w:ascii="Dutch" w:eastAsia="Times New Roman" w:hAnsi="Dutch" w:cs="Times New Roman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rsid w:val="00662C41"/>
    <w:rPr>
      <w:rFonts w:ascii="Dutch" w:eastAsia="Times New Roman" w:hAnsi="Dutch" w:cs="Times New Roman"/>
      <w:sz w:val="20"/>
      <w:szCs w:val="20"/>
      <w:lang w:eastAsia="es-ES"/>
    </w:rPr>
  </w:style>
  <w:style w:type="character" w:styleId="Refdecomentario">
    <w:name w:val="annotation reference"/>
    <w:unhideWhenUsed/>
    <w:rsid w:val="00662C41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62C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62C41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link w:val="PrrafodelistaCar"/>
    <w:uiPriority w:val="34"/>
    <w:qFormat/>
    <w:rsid w:val="005D750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8019D"/>
  </w:style>
  <w:style w:type="paragraph" w:styleId="Piedepgina">
    <w:name w:val="footer"/>
    <w:basedOn w:val="Normal"/>
    <w:link w:val="PiedepginaCar"/>
    <w:uiPriority w:val="99"/>
    <w:unhideWhenUsed/>
    <w:rsid w:val="00C8019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8019D"/>
  </w:style>
  <w:style w:type="paragraph" w:styleId="Sangradetextonormal">
    <w:name w:val="Body Text Indent"/>
    <w:basedOn w:val="Normal"/>
    <w:link w:val="SangradetextonormalCar"/>
    <w:rsid w:val="006B20EA"/>
    <w:pPr>
      <w:spacing w:after="0" w:line="240" w:lineRule="auto"/>
      <w:ind w:left="720"/>
      <w:jc w:val="both"/>
    </w:pPr>
    <w:rPr>
      <w:rFonts w:ascii="Arial" w:eastAsia="Times New Roman" w:hAnsi="Arial" w:cs="Arial"/>
      <w:sz w:val="24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6B20EA"/>
    <w:rPr>
      <w:rFonts w:ascii="Arial" w:eastAsia="Times New Roman" w:hAnsi="Arial" w:cs="Arial"/>
      <w:sz w:val="24"/>
      <w:szCs w:val="24"/>
      <w:lang w:eastAsia="es-ES"/>
    </w:rPr>
  </w:style>
  <w:style w:type="paragraph" w:customStyle="1" w:styleId="Pa9">
    <w:name w:val="Pa9"/>
    <w:basedOn w:val="Normal"/>
    <w:next w:val="Normal"/>
    <w:uiPriority w:val="99"/>
    <w:rsid w:val="009E51DA"/>
    <w:pPr>
      <w:autoSpaceDE w:val="0"/>
      <w:autoSpaceDN w:val="0"/>
      <w:adjustRightInd w:val="0"/>
      <w:spacing w:after="0" w:line="201" w:lineRule="atLeast"/>
    </w:pPr>
    <w:rPr>
      <w:rFonts w:ascii="Arial" w:hAnsi="Arial" w:cs="Arial"/>
      <w:sz w:val="24"/>
      <w:szCs w:val="24"/>
    </w:rPr>
  </w:style>
  <w:style w:type="character" w:customStyle="1" w:styleId="PrrafodelistaCar">
    <w:name w:val="Párrafo de lista Car"/>
    <w:link w:val="Prrafodelista"/>
    <w:uiPriority w:val="34"/>
    <w:locked/>
    <w:rsid w:val="00AD6122"/>
  </w:style>
  <w:style w:type="character" w:styleId="Textodelmarcadordeposicin">
    <w:name w:val="Placeholder Text"/>
    <w:basedOn w:val="Fuentedeprrafopredeter"/>
    <w:uiPriority w:val="99"/>
    <w:semiHidden/>
    <w:rsid w:val="001D105A"/>
    <w:rPr>
      <w:color w:val="80808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F37B8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Hipervnculo">
    <w:name w:val="Hyperlink"/>
    <w:basedOn w:val="Fuentedeprrafopredeter"/>
    <w:uiPriority w:val="99"/>
    <w:unhideWhenUsed/>
    <w:rsid w:val="009D19E1"/>
    <w:rPr>
      <w:color w:val="0000FF" w:themeColor="hyperlink"/>
      <w:u w:val="single"/>
    </w:rPr>
  </w:style>
  <w:style w:type="paragraph" w:customStyle="1" w:styleId="Default">
    <w:name w:val="Default"/>
    <w:rsid w:val="003F2D9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2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0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6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2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0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2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5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9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2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5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9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5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5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0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8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3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6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89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3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DF560C-AD9D-4F04-9B5F-FE7260A62A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F0C193-9B05-440C-99AD-EB5CE4627D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25E402-235D-459C-B04D-2CF34AF45C2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1219</Words>
  <Characters>6950</Characters>
  <Application>Microsoft Office Word</Application>
  <DocSecurity>0</DocSecurity>
  <Lines>57</Lines>
  <Paragraphs>16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Annex 8 Condicions i clàusules especials i essencials</vt:lpstr>
      <vt:lpstr>Annex 8 Condicions i clàusules especials i essencials</vt:lpstr>
    </vt:vector>
  </TitlesOfParts>
  <Company>ICS</Company>
  <LinksUpToDate>false</LinksUpToDate>
  <CharactersWithSpaces>8153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8 Condicions i clàusules especials i essencials</dc:title>
  <dc:creator>Sonia Navarro Rey</dc:creator>
  <cp:lastModifiedBy>Carol Amigó Rojo</cp:lastModifiedBy>
  <cp:revision>6</cp:revision>
  <cp:lastPrinted>2023-03-13T13:12:00Z</cp:lastPrinted>
  <dcterms:created xsi:type="dcterms:W3CDTF">2023-03-13T13:20:00Z</dcterms:created>
  <dcterms:modified xsi:type="dcterms:W3CDTF">2025-11-19T09:43:00Z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